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2F" w:rsidRPr="0040652F" w:rsidRDefault="0059432F" w:rsidP="0059432F">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 xml:space="preserve">21 veintiuno </w:t>
      </w:r>
      <w:r w:rsidRPr="0040652F">
        <w:rPr>
          <w:rFonts w:ascii="Calibri" w:hAnsi="Calibri" w:cs="Calibri"/>
          <w:b/>
          <w:color w:val="767171" w:themeColor="background2" w:themeShade="80"/>
          <w:sz w:val="26"/>
          <w:szCs w:val="26"/>
        </w:rPr>
        <w:t xml:space="preserve">de febrero del año 2017 dos mil diecisiete. </w:t>
      </w:r>
      <w:r>
        <w:rPr>
          <w:rFonts w:ascii="Calibri" w:hAnsi="Calibri" w:cs="Calibri"/>
          <w:b/>
          <w:color w:val="767171" w:themeColor="background2" w:themeShade="80"/>
          <w:sz w:val="26"/>
          <w:szCs w:val="26"/>
        </w:rPr>
        <w:t>. . . . . . . . . . . . . . . . . . . . . . . . . . . . . . . . . . . . . . . . . . . . . . . . . . . . . . . . . . .</w:t>
      </w:r>
    </w:p>
    <w:p w:rsidR="0059432F" w:rsidRPr="0040652F" w:rsidRDefault="0059432F" w:rsidP="0059432F">
      <w:pPr>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992</w:t>
      </w:r>
      <w:r w:rsidRPr="0040652F">
        <w:rPr>
          <w:rFonts w:ascii="Calibri" w:hAnsi="Calibri" w:cs="Calibri"/>
          <w:b/>
          <w:color w:val="767171" w:themeColor="background2" w:themeShade="80"/>
          <w:sz w:val="26"/>
          <w:szCs w:val="26"/>
        </w:rPr>
        <w:t>/2016-JN</w:t>
      </w:r>
      <w:r w:rsidRPr="0040652F">
        <w:rPr>
          <w:rFonts w:ascii="Calibri" w:hAnsi="Calibri" w:cs="Calibri"/>
          <w:color w:val="767171" w:themeColor="background2" w:themeShade="80"/>
          <w:sz w:val="26"/>
          <w:szCs w:val="26"/>
        </w:rPr>
        <w:t xml:space="preserve">, promovido por el ciudadano </w:t>
      </w:r>
      <w:r w:rsidR="005767A9">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5767A9">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proofErr w:type="gramStart"/>
      <w:r w:rsidRPr="0040652F">
        <w:rPr>
          <w:rFonts w:ascii="Calibri" w:hAnsi="Calibri" w:cs="Calibri"/>
          <w:color w:val="767171" w:themeColor="background2" w:themeShade="80"/>
          <w:sz w:val="26"/>
          <w:szCs w:val="26"/>
        </w:rPr>
        <w:t>, .</w:t>
      </w:r>
      <w:proofErr w:type="gramEnd"/>
      <w:r w:rsidRPr="0040652F">
        <w:rPr>
          <w:rFonts w:ascii="Calibri" w:hAnsi="Calibri" w:cs="Calibri"/>
          <w:color w:val="767171" w:themeColor="background2" w:themeShade="80"/>
          <w:sz w:val="26"/>
          <w:szCs w:val="26"/>
        </w:rPr>
        <w:t xml:space="preserve"> . . . . . . . . . . . . . . . . . . . . . . . . </w:t>
      </w:r>
      <w:r>
        <w:rPr>
          <w:rFonts w:ascii="Calibri" w:hAnsi="Calibri" w:cs="Calibri"/>
          <w:color w:val="767171" w:themeColor="background2" w:themeShade="80"/>
          <w:sz w:val="26"/>
          <w:szCs w:val="26"/>
        </w:rPr>
        <w:t xml:space="preserve">. . . . . . . </w:t>
      </w: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59432F" w:rsidRPr="0040652F" w:rsidRDefault="0059432F" w:rsidP="0059432F">
      <w:pPr>
        <w:pStyle w:val="Textoindependiente"/>
        <w:ind w:firstLine="708"/>
        <w:jc w:val="center"/>
        <w:rPr>
          <w:rFonts w:ascii="Calibri" w:hAnsi="Calibri" w:cs="Calibri"/>
          <w:b/>
          <w:bCs/>
          <w:color w:val="767171" w:themeColor="background2" w:themeShade="80"/>
          <w:sz w:val="26"/>
          <w:szCs w:val="26"/>
        </w:rPr>
      </w:pPr>
    </w:p>
    <w:p w:rsidR="0059432F" w:rsidRPr="0040652F" w:rsidRDefault="0059432F" w:rsidP="0059432F">
      <w:pPr>
        <w:pStyle w:val="Textoindependiente"/>
        <w:rPr>
          <w:rFonts w:ascii="Calibri" w:hAnsi="Calibri" w:cs="Calibri"/>
          <w:b/>
          <w:bCs/>
          <w:color w:val="767171" w:themeColor="background2" w:themeShade="80"/>
          <w:sz w:val="26"/>
          <w:szCs w:val="26"/>
        </w:rPr>
      </w:pPr>
      <w:bookmarkStart w:id="0" w:name="_GoBack"/>
      <w:bookmarkEnd w:id="0"/>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706F4C">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sidR="00706F4C">
        <w:rPr>
          <w:rFonts w:ascii="Calibri" w:hAnsi="Calibri" w:cs="Calibri"/>
          <w:color w:val="767171" w:themeColor="background2" w:themeShade="80"/>
          <w:sz w:val="26"/>
          <w:szCs w:val="26"/>
        </w:rPr>
        <w:t>onc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r>
        <w:rPr>
          <w:rFonts w:ascii="Calibri" w:hAnsi="Calibri" w:cs="Calibri"/>
          <w:color w:val="767171" w:themeColor="background2" w:themeShade="80"/>
          <w:sz w:val="26"/>
          <w:szCs w:val="26"/>
        </w:rPr>
        <w:t>. . . . . . . . . . . . .</w:t>
      </w:r>
      <w:r w:rsidR="00706F4C">
        <w:rPr>
          <w:rFonts w:ascii="Calibri" w:hAnsi="Calibri" w:cs="Calibri"/>
          <w:color w:val="767171" w:themeColor="background2" w:themeShade="80"/>
          <w:sz w:val="26"/>
          <w:szCs w:val="26"/>
        </w:rPr>
        <w:t xml:space="preserve"> . .</w:t>
      </w:r>
    </w:p>
    <w:p w:rsidR="0059432F" w:rsidRPr="0040652F" w:rsidRDefault="0059432F" w:rsidP="0059432F">
      <w:pPr>
        <w:jc w:val="both"/>
        <w:rPr>
          <w:rFonts w:ascii="Calibri" w:hAnsi="Calibri" w:cs="Calibri"/>
          <w:b/>
          <w:i/>
          <w:iCs/>
          <w:color w:val="767171" w:themeColor="background2" w:themeShade="80"/>
          <w:sz w:val="26"/>
          <w:szCs w:val="26"/>
          <w:lang w:val="es-MX"/>
        </w:rPr>
      </w:pPr>
    </w:p>
    <w:p w:rsidR="005943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00706F4C">
        <w:rPr>
          <w:rFonts w:ascii="Calibri" w:hAnsi="Calibri" w:cs="Calibri"/>
          <w:color w:val="767171" w:themeColor="background2" w:themeShade="80"/>
          <w:sz w:val="26"/>
          <w:szCs w:val="26"/>
        </w:rPr>
        <w:t xml:space="preserve"> 359279 (tres-cinco-nueve-dos-siete-nueve), de fecha 11 once de octubre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tre</w:t>
      </w:r>
      <w:r>
        <w:rPr>
          <w:rFonts w:ascii="Calibri" w:hAnsi="Calibri" w:cs="Calibri"/>
          <w:color w:val="767171" w:themeColor="background2" w:themeShade="80"/>
          <w:sz w:val="26"/>
          <w:szCs w:val="26"/>
        </w:rPr>
        <w:t>s</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w:t>
      </w:r>
    </w:p>
    <w:p w:rsidR="0059432F" w:rsidRDefault="0059432F" w:rsidP="0059432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w:t>
      </w:r>
      <w:r w:rsidR="00706F4C">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/2016-JN</w:t>
      </w:r>
    </w:p>
    <w:p w:rsidR="005943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p>
    <w:p w:rsidR="0059432F" w:rsidRPr="0040652F" w:rsidRDefault="0059432F" w:rsidP="0059432F">
      <w:pPr>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r w:rsidR="00E70DFD">
        <w:rPr>
          <w:rFonts w:ascii="Calibri" w:hAnsi="Calibri" w:cs="Calibri"/>
          <w:color w:val="767171" w:themeColor="background2" w:themeShade="80"/>
          <w:sz w:val="26"/>
          <w:szCs w:val="26"/>
        </w:rPr>
        <w:t>.</w:t>
      </w:r>
    </w:p>
    <w:p w:rsidR="005943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5767A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r w:rsidR="00706F4C">
        <w:rPr>
          <w:rFonts w:ascii="Calibri" w:hAnsi="Calibri" w:cs="Calibri"/>
          <w:color w:val="767171" w:themeColor="background2" w:themeShade="80"/>
          <w:sz w:val="26"/>
          <w:szCs w:val="26"/>
        </w:rPr>
        <w:t xml:space="preserve">. . </w:t>
      </w:r>
    </w:p>
    <w:p w:rsidR="0059432F" w:rsidRPr="0040652F" w:rsidRDefault="0059432F" w:rsidP="0059432F">
      <w:pPr>
        <w:rPr>
          <w:rFonts w:ascii="Calibri" w:hAnsi="Calibri" w:cs="Calibri"/>
          <w:b/>
          <w:color w:val="767171" w:themeColor="background2" w:themeShade="80"/>
          <w:sz w:val="26"/>
          <w:szCs w:val="26"/>
        </w:rPr>
      </w:pPr>
    </w:p>
    <w:p w:rsidR="0059432F" w:rsidRPr="00C158B5"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5767A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Pr="00126C57">
        <w:rPr>
          <w:rFonts w:ascii="Calibri" w:hAnsi="Calibri" w:cs="Calibri"/>
          <w:i/>
          <w:color w:val="767171" w:themeColor="background2" w:themeShade="80"/>
          <w:sz w:val="26"/>
          <w:szCs w:val="26"/>
        </w:rPr>
        <w:t xml:space="preserve">“Transportes Urbanos y </w:t>
      </w:r>
      <w:r w:rsidRPr="00126C57">
        <w:rPr>
          <w:rFonts w:ascii="Calibri" w:hAnsi="Calibri" w:cs="Calibri"/>
          <w:i/>
          <w:color w:val="767171" w:themeColor="background2" w:themeShade="80"/>
          <w:sz w:val="26"/>
          <w:szCs w:val="26"/>
        </w:rPr>
        <w:lastRenderedPageBreak/>
        <w:t>suburbanos San Juan Bosco, Sociedad Anónima de Capital Variable</w:t>
      </w:r>
      <w:r w:rsidRPr="00126C57">
        <w:rPr>
          <w:rFonts w:ascii="Calibri" w:hAnsi="Calibri" w:cs="Calibr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Pr>
          <w:rFonts w:ascii="Calibri" w:hAnsi="Calibri" w:cs="Calibri"/>
          <w:color w:val="767171" w:themeColor="background2" w:themeShade="80"/>
          <w:sz w:val="26"/>
          <w:szCs w:val="26"/>
        </w:rPr>
        <w:t>Jesús César Santos del Muro Amador</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Francisco Javier Ramírez Olvera,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5767A9">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w:t>
      </w:r>
      <w:r w:rsidR="004111FE">
        <w:rPr>
          <w:rFonts w:ascii="Calibri" w:hAnsi="Calibri"/>
          <w:color w:val="767171" w:themeColor="background2" w:themeShade="80"/>
          <w:sz w:val="26"/>
          <w:szCs w:val="26"/>
        </w:rPr>
        <w:t xml:space="preserve">.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Pr="00C158B5">
        <w:rPr>
          <w:rFonts w:ascii="Calibri" w:hAnsi="Calibri" w:cs="Calibri"/>
          <w:color w:val="767171" w:themeColor="background2" w:themeShade="80"/>
          <w:sz w:val="26"/>
          <w:szCs w:val="26"/>
        </w:rPr>
        <w:t>su Primer Testimonio,</w:t>
      </w:r>
      <w:r w:rsidRPr="0040652F">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5</w:t>
      </w:r>
      <w:r w:rsidRPr="0040652F">
        <w:rPr>
          <w:rFonts w:ascii="Calibri" w:hAnsi="Calibri" w:cs="Calibri"/>
          <w:color w:val="767171" w:themeColor="background2" w:themeShade="80"/>
          <w:sz w:val="26"/>
          <w:szCs w:val="26"/>
        </w:rPr>
        <w:t xml:space="preserve"> c</w:t>
      </w:r>
      <w:r>
        <w:rPr>
          <w:rFonts w:ascii="Calibri" w:hAnsi="Calibri" w:cs="Calibri"/>
          <w:color w:val="767171" w:themeColor="background2" w:themeShade="80"/>
          <w:sz w:val="26"/>
          <w:szCs w:val="26"/>
        </w:rPr>
        <w:t>inco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5767A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5767A9">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r w:rsidR="00E8165D">
        <w:rPr>
          <w:rFonts w:ascii="Calibri" w:hAnsi="Calibri" w:cs="Calibri"/>
          <w:bCs/>
          <w:iCs/>
          <w:color w:val="767171" w:themeColor="background2" w:themeShade="80"/>
          <w:sz w:val="26"/>
          <w:szCs w:val="26"/>
        </w:rPr>
        <w:t>. . .</w:t>
      </w:r>
    </w:p>
    <w:p w:rsidR="0059432F" w:rsidRPr="0040652F" w:rsidRDefault="0059432F" w:rsidP="0059432F">
      <w:pPr>
        <w:pStyle w:val="Sangradetextonormal"/>
        <w:ind w:left="0" w:firstLine="708"/>
        <w:jc w:val="both"/>
        <w:rPr>
          <w:rFonts w:ascii="Calibri" w:hAnsi="Calibri" w:cs="Calibri"/>
          <w:bCs/>
          <w:iCs/>
          <w:color w:val="767171" w:themeColor="background2" w:themeShade="80"/>
          <w:sz w:val="20"/>
          <w:szCs w:val="20"/>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Pr>
          <w:rFonts w:ascii="Calibri" w:hAnsi="Calibri" w:cs="Calibri"/>
          <w:bCs/>
          <w:iCs/>
          <w:color w:val="767171" w:themeColor="background2" w:themeShade="80"/>
          <w:sz w:val="26"/>
          <w:szCs w:val="26"/>
        </w:rPr>
        <w:t xml:space="preserve">, pues es </w:t>
      </w:r>
      <w:r>
        <w:rPr>
          <w:rFonts w:ascii="Calibri" w:hAnsi="Calibri" w:cs="Calibri"/>
          <w:bCs/>
          <w:iCs/>
          <w:color w:val="767171" w:themeColor="background2" w:themeShade="80"/>
          <w:sz w:val="26"/>
          <w:szCs w:val="26"/>
        </w:rPr>
        <w:lastRenderedPageBreak/>
        <w:t>evidente que para circular es menester portar ambas placas de circulación</w:t>
      </w:r>
      <w:r w:rsidRPr="0040652F">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40652F">
        <w:rPr>
          <w:rFonts w:ascii="Calibri" w:hAnsi="Calibri" w:cs="Calibri"/>
          <w:bCs/>
          <w:iCs/>
          <w:color w:val="767171" w:themeColor="background2" w:themeShade="80"/>
          <w:sz w:val="26"/>
          <w:szCs w:val="26"/>
        </w:rPr>
        <w:t>litis</w:t>
      </w:r>
      <w:proofErr w:type="spellEnd"/>
      <w:r w:rsidRPr="0040652F">
        <w:rPr>
          <w:rFonts w:ascii="Calibri" w:hAnsi="Calibri" w:cs="Calibri"/>
          <w:bCs/>
          <w:iCs/>
          <w:color w:val="767171" w:themeColor="background2" w:themeShade="80"/>
          <w:sz w:val="26"/>
          <w:szCs w:val="26"/>
        </w:rPr>
        <w:t xml:space="preserve">”. . . . . . . . . . . . . . . . </w:t>
      </w:r>
      <w:r w:rsidR="00E8165D">
        <w:rPr>
          <w:rFonts w:ascii="Calibri" w:hAnsi="Calibri" w:cs="Calibri"/>
          <w:bCs/>
          <w:iCs/>
          <w:color w:val="767171" w:themeColor="background2" w:themeShade="80"/>
          <w:sz w:val="26"/>
          <w:szCs w:val="26"/>
        </w:rPr>
        <w:t>. . . . . . . . . . . . . . . . . . .</w:t>
      </w:r>
    </w:p>
    <w:p w:rsidR="0059432F" w:rsidRPr="0040652F" w:rsidRDefault="0059432F" w:rsidP="0059432F">
      <w:pPr>
        <w:pStyle w:val="Sangradetextonormal"/>
        <w:jc w:val="both"/>
        <w:rPr>
          <w:rFonts w:ascii="Calibri" w:hAnsi="Calibri" w:cs="Calibri"/>
          <w:bCs/>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59432F" w:rsidRPr="0040652F" w:rsidRDefault="0059432F" w:rsidP="0059432F">
      <w:pPr>
        <w:jc w:val="both"/>
        <w:rPr>
          <w:rFonts w:ascii="Calibri" w:hAnsi="Calibri" w:cs="Calibri"/>
          <w:b/>
          <w:bCs/>
          <w:i/>
          <w:iCs/>
          <w:color w:val="767171" w:themeColor="background2" w:themeShade="80"/>
          <w:sz w:val="26"/>
          <w:szCs w:val="26"/>
          <w:lang w:val="es-MX"/>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E70DFD">
        <w:rPr>
          <w:rFonts w:ascii="Calibri" w:hAnsi="Calibri" w:cs="Calibri"/>
          <w:color w:val="767171" w:themeColor="background2" w:themeShade="80"/>
          <w:sz w:val="26"/>
          <w:szCs w:val="26"/>
        </w:rPr>
        <w:t xml:space="preserve">. . . . .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2A5F77" w:rsidRDefault="0059432F" w:rsidP="007C1B78">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Víctor de Luna Gutiérrez</w:t>
      </w:r>
      <w:r w:rsidRPr="0040652F">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w:t>
      </w:r>
      <w:r w:rsidR="007C1B78">
        <w:rPr>
          <w:rFonts w:ascii="Calibri" w:hAnsi="Calibri" w:cs="Calibri"/>
          <w:color w:val="767171" w:themeColor="background2" w:themeShade="80"/>
          <w:sz w:val="26"/>
          <w:szCs w:val="26"/>
        </w:rPr>
        <w:t>1</w:t>
      </w:r>
      <w:r w:rsidRPr="0040652F">
        <w:rPr>
          <w:rFonts w:ascii="Calibri" w:hAnsi="Calibri" w:cs="Calibri"/>
          <w:color w:val="767171" w:themeColor="background2" w:themeShade="80"/>
          <w:sz w:val="26"/>
          <w:szCs w:val="26"/>
        </w:rPr>
        <w:t xml:space="preserve"> </w:t>
      </w:r>
      <w:r w:rsidR="007C1B78">
        <w:rPr>
          <w:rFonts w:ascii="Calibri" w:hAnsi="Calibri" w:cs="Calibri"/>
          <w:color w:val="767171" w:themeColor="background2" w:themeShade="80"/>
          <w:sz w:val="26"/>
          <w:szCs w:val="26"/>
        </w:rPr>
        <w:t>onc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r w:rsidR="007C1B78">
        <w:rPr>
          <w:rFonts w:ascii="Calibri" w:hAnsi="Calibri" w:cs="Calibri"/>
          <w:i/>
          <w:iCs/>
          <w:color w:val="767171" w:themeColor="background2" w:themeShade="80"/>
          <w:sz w:val="26"/>
          <w:szCs w:val="26"/>
        </w:rPr>
        <w:t>Estación 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w:t>
      </w:r>
      <w:proofErr w:type="spellStart"/>
      <w:r w:rsidRPr="00F97F1A">
        <w:rPr>
          <w:rFonts w:ascii="Calibri" w:hAnsi="Calibri" w:cs="Calibri"/>
          <w:i/>
          <w:iCs/>
          <w:color w:val="767171" w:themeColor="background2" w:themeShade="80"/>
          <w:sz w:val="26"/>
          <w:szCs w:val="26"/>
        </w:rPr>
        <w:t>Vibar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35927</w:t>
      </w:r>
      <w:r w:rsidR="007C1B78">
        <w:rPr>
          <w:rFonts w:ascii="Calibri" w:hAnsi="Calibri" w:cs="Calibri"/>
          <w:color w:val="767171" w:themeColor="background2" w:themeShade="80"/>
          <w:sz w:val="26"/>
          <w:szCs w:val="26"/>
        </w:rPr>
        <w:t>9</w:t>
      </w:r>
      <w:r>
        <w:rPr>
          <w:rFonts w:ascii="Calibri" w:hAnsi="Calibri" w:cs="Calibri"/>
          <w:color w:val="767171" w:themeColor="background2" w:themeShade="80"/>
          <w:sz w:val="26"/>
          <w:szCs w:val="26"/>
        </w:rPr>
        <w:t xml:space="preserve"> (tres-cinco-nueve-dos-siete-siete),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w:t>
      </w:r>
      <w:r w:rsidRPr="0040652F">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 xml:space="preserve">los </w:t>
      </w:r>
      <w:r w:rsidRPr="0040652F">
        <w:rPr>
          <w:rFonts w:ascii="Calibri" w:hAnsi="Calibri" w:cs="Calibri"/>
          <w:i/>
          <w:color w:val="767171" w:themeColor="background2" w:themeShade="80"/>
          <w:sz w:val="26"/>
          <w:szCs w:val="26"/>
        </w:rPr>
        <w:t xml:space="preserve">horarios, rutas, itinerarios y frecuencias autorizadas </w:t>
      </w:r>
      <w:r>
        <w:rPr>
          <w:rFonts w:ascii="Calibri" w:hAnsi="Calibri" w:cs="Calibri"/>
          <w:i/>
          <w:color w:val="767171" w:themeColor="background2" w:themeShade="80"/>
          <w:sz w:val="26"/>
          <w:szCs w:val="26"/>
        </w:rPr>
        <w:t xml:space="preserve">en la prestación del servicio. Me encontraba aforando la ruta A-65 en </w:t>
      </w:r>
      <w:r w:rsidR="007C1B78">
        <w:rPr>
          <w:rFonts w:ascii="Calibri" w:hAnsi="Calibri" w:cs="Calibri"/>
          <w:i/>
          <w:color w:val="767171" w:themeColor="background2" w:themeShade="80"/>
          <w:sz w:val="26"/>
          <w:szCs w:val="26"/>
        </w:rPr>
        <w:t>la estación de transferencia San Juan Bosco”</w:t>
      </w:r>
      <w:r>
        <w:rPr>
          <w:rFonts w:ascii="Calibri" w:hAnsi="Calibri" w:cs="Calibri"/>
          <w:i/>
          <w:color w:val="767171" w:themeColor="background2" w:themeShade="80"/>
          <w:sz w:val="26"/>
          <w:szCs w:val="26"/>
        </w:rPr>
        <w:t xml:space="preserve"> </w:t>
      </w:r>
      <w:r w:rsidR="007C1B78">
        <w:rPr>
          <w:rFonts w:ascii="Calibri" w:hAnsi="Calibri" w:cs="Calibri"/>
          <w:i/>
          <w:color w:val="767171" w:themeColor="background2" w:themeShade="80"/>
          <w:sz w:val="26"/>
          <w:szCs w:val="26"/>
        </w:rPr>
        <w:t xml:space="preserve">percatándome de despacho físico perdido # 80, programado a las 19:13 </w:t>
      </w:r>
      <w:proofErr w:type="spellStart"/>
      <w:r w:rsidR="007C1B78">
        <w:rPr>
          <w:rFonts w:ascii="Calibri" w:hAnsi="Calibri" w:cs="Calibri"/>
          <w:i/>
          <w:color w:val="767171" w:themeColor="background2" w:themeShade="80"/>
          <w:sz w:val="26"/>
          <w:szCs w:val="26"/>
        </w:rPr>
        <w:t>hrs</w:t>
      </w:r>
      <w:proofErr w:type="spellEnd"/>
      <w:r w:rsidR="007C1B78">
        <w:rPr>
          <w:rFonts w:ascii="Calibri" w:hAnsi="Calibri" w:cs="Calibri"/>
          <w:i/>
          <w:color w:val="767171" w:themeColor="background2" w:themeShade="80"/>
          <w:sz w:val="26"/>
          <w:szCs w:val="26"/>
        </w:rPr>
        <w:t xml:space="preserve">., de acuerdo al plan de operación </w:t>
      </w:r>
    </w:p>
    <w:p w:rsidR="002A5F77" w:rsidRDefault="002A5F77" w:rsidP="002A5F7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992/2016-JN</w:t>
      </w:r>
    </w:p>
    <w:p w:rsidR="002A5F77" w:rsidRDefault="002A5F77" w:rsidP="002A5F77">
      <w:pPr>
        <w:jc w:val="both"/>
        <w:rPr>
          <w:rFonts w:ascii="Calibri" w:hAnsi="Calibri" w:cs="Calibri"/>
          <w:i/>
          <w:color w:val="767171" w:themeColor="background2" w:themeShade="80"/>
          <w:sz w:val="26"/>
          <w:szCs w:val="26"/>
        </w:rPr>
      </w:pPr>
    </w:p>
    <w:p w:rsidR="0059432F" w:rsidRPr="0040652F" w:rsidRDefault="007C1B78" w:rsidP="002A5F77">
      <w:pPr>
        <w:jc w:val="both"/>
        <w:rPr>
          <w:rFonts w:ascii="Calibri" w:hAnsi="Calibri" w:cs="Calibri"/>
          <w:i/>
          <w:color w:val="767171" w:themeColor="background2" w:themeShade="80"/>
          <w:sz w:val="26"/>
          <w:szCs w:val="26"/>
        </w:rPr>
      </w:pPr>
      <w:proofErr w:type="gramStart"/>
      <w:r>
        <w:rPr>
          <w:rFonts w:ascii="Calibri" w:hAnsi="Calibri" w:cs="Calibri"/>
          <w:i/>
          <w:color w:val="767171" w:themeColor="background2" w:themeShade="80"/>
          <w:sz w:val="26"/>
          <w:szCs w:val="26"/>
        </w:rPr>
        <w:t>vigente</w:t>
      </w:r>
      <w:proofErr w:type="gramEnd"/>
      <w:r w:rsidR="0059432F">
        <w:rPr>
          <w:rFonts w:ascii="Calibri" w:hAnsi="Calibri" w:cs="Calibri"/>
          <w:i/>
          <w:color w:val="767171" w:themeColor="background2" w:themeShade="80"/>
          <w:sz w:val="26"/>
          <w:szCs w:val="26"/>
        </w:rPr>
        <w:t>”</w:t>
      </w:r>
      <w:r w:rsidR="0059432F" w:rsidRPr="0040652F">
        <w:rPr>
          <w:rFonts w:ascii="Calibri" w:hAnsi="Calibri" w:cs="Calibri"/>
          <w:i/>
          <w:color w:val="767171" w:themeColor="background2" w:themeShade="80"/>
          <w:sz w:val="26"/>
          <w:szCs w:val="26"/>
        </w:rPr>
        <w:t>;</w:t>
      </w:r>
      <w:r w:rsidR="0059432F" w:rsidRPr="0040652F">
        <w:rPr>
          <w:rFonts w:ascii="Calibri" w:hAnsi="Calibri" w:cs="Calibri"/>
          <w:color w:val="767171" w:themeColor="background2" w:themeShade="80"/>
          <w:sz w:val="26"/>
          <w:szCs w:val="26"/>
        </w:rPr>
        <w:t xml:space="preserve"> especificando en el recuadro destinado a los datos del infractor: </w:t>
      </w:r>
      <w:r w:rsidR="0059432F" w:rsidRPr="0040652F">
        <w:rPr>
          <w:rFonts w:ascii="Calibri" w:hAnsi="Calibri" w:cs="Calibri"/>
          <w:i/>
          <w:color w:val="767171" w:themeColor="background2" w:themeShade="80"/>
          <w:sz w:val="26"/>
          <w:szCs w:val="26"/>
        </w:rPr>
        <w:t xml:space="preserve">“Nombre: Transportes Urbanos </w:t>
      </w:r>
      <w:r w:rsidR="0059432F">
        <w:rPr>
          <w:rFonts w:ascii="Calibri" w:hAnsi="Calibri" w:cs="Calibri"/>
          <w:i/>
          <w:color w:val="767171" w:themeColor="background2" w:themeShade="80"/>
          <w:sz w:val="26"/>
          <w:szCs w:val="26"/>
        </w:rPr>
        <w:t>San Juan Bosco S.A. de C.V.</w:t>
      </w:r>
      <w:r w:rsidR="0059432F">
        <w:rPr>
          <w:rFonts w:ascii="Calibri" w:hAnsi="Calibri" w:cs="Calibri"/>
          <w:color w:val="767171" w:themeColor="background2" w:themeShade="80"/>
          <w:sz w:val="26"/>
          <w:szCs w:val="26"/>
        </w:rPr>
        <w:t xml:space="preserve"> </w:t>
      </w:r>
      <w:r w:rsidR="0059432F" w:rsidRPr="001E7BCD">
        <w:rPr>
          <w:rFonts w:ascii="Calibri" w:hAnsi="Calibri" w:cs="Calibri"/>
          <w:color w:val="767171" w:themeColor="background2" w:themeShade="80"/>
          <w:sz w:val="26"/>
          <w:szCs w:val="26"/>
        </w:rPr>
        <w:t>(denominación incompleta)</w:t>
      </w:r>
      <w:r w:rsidR="0059432F" w:rsidRPr="001E7BCD">
        <w:rPr>
          <w:rFonts w:ascii="Calibri" w:hAnsi="Calibri" w:cs="Calibri"/>
          <w:i/>
          <w:color w:val="767171" w:themeColor="background2" w:themeShade="80"/>
          <w:sz w:val="26"/>
          <w:szCs w:val="26"/>
        </w:rPr>
        <w:t xml:space="preserve">, </w:t>
      </w:r>
      <w:r w:rsidR="0059432F" w:rsidRPr="0040652F">
        <w:rPr>
          <w:rFonts w:ascii="Calibri" w:hAnsi="Calibri" w:cs="Calibri"/>
          <w:i/>
          <w:color w:val="767171" w:themeColor="background2" w:themeShade="80"/>
          <w:sz w:val="26"/>
          <w:szCs w:val="26"/>
        </w:rPr>
        <w:t xml:space="preserve">domicilio: </w:t>
      </w:r>
      <w:proofErr w:type="spellStart"/>
      <w:r w:rsidR="0059432F">
        <w:rPr>
          <w:rFonts w:ascii="Calibri" w:hAnsi="Calibri" w:cs="Calibri"/>
          <w:i/>
          <w:color w:val="767171" w:themeColor="background2" w:themeShade="80"/>
          <w:sz w:val="26"/>
          <w:szCs w:val="26"/>
        </w:rPr>
        <w:t>Carr</w:t>
      </w:r>
      <w:proofErr w:type="spellEnd"/>
      <w:r w:rsidR="0059432F">
        <w:rPr>
          <w:rFonts w:ascii="Calibri" w:hAnsi="Calibri" w:cs="Calibri"/>
          <w:i/>
          <w:color w:val="767171" w:themeColor="background2" w:themeShade="80"/>
          <w:sz w:val="26"/>
          <w:szCs w:val="26"/>
        </w:rPr>
        <w:t xml:space="preserve">. León-Lagos km. 8 entronque </w:t>
      </w:r>
      <w:r>
        <w:rPr>
          <w:rFonts w:ascii="Calibri" w:hAnsi="Calibri" w:cs="Calibri"/>
          <w:i/>
          <w:color w:val="767171" w:themeColor="background2" w:themeShade="80"/>
          <w:sz w:val="26"/>
          <w:szCs w:val="26"/>
        </w:rPr>
        <w:t xml:space="preserve">a </w:t>
      </w:r>
      <w:r w:rsidR="0059432F">
        <w:rPr>
          <w:rFonts w:ascii="Calibri" w:hAnsi="Calibri" w:cs="Calibri"/>
          <w:i/>
          <w:color w:val="767171" w:themeColor="background2" w:themeShade="80"/>
          <w:sz w:val="26"/>
          <w:szCs w:val="26"/>
        </w:rPr>
        <w:t>La Joya”</w:t>
      </w:r>
      <w:r w:rsidR="0059432F" w:rsidRPr="0040652F">
        <w:rPr>
          <w:rFonts w:ascii="Calibri" w:hAnsi="Calibri" w:cs="Calibri"/>
          <w:i/>
          <w:iCs/>
          <w:color w:val="767171" w:themeColor="background2" w:themeShade="80"/>
          <w:sz w:val="26"/>
          <w:szCs w:val="26"/>
        </w:rPr>
        <w:t xml:space="preserve">; </w:t>
      </w:r>
      <w:r w:rsidR="0059432F"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0059432F" w:rsidRPr="0040652F">
        <w:rPr>
          <w:rFonts w:ascii="Calibri" w:hAnsi="Calibri"/>
          <w:bCs/>
          <w:color w:val="767171" w:themeColor="background2" w:themeShade="80"/>
          <w:sz w:val="26"/>
          <w:szCs w:val="26"/>
        </w:rPr>
        <w:t>las placas de circulación del vehículo,</w:t>
      </w:r>
      <w:r w:rsidR="0059432F" w:rsidRPr="0040652F">
        <w:rPr>
          <w:rFonts w:ascii="Calibri" w:hAnsi="Calibri" w:cs="Calibri"/>
          <w:color w:val="767171" w:themeColor="background2" w:themeShade="80"/>
          <w:sz w:val="26"/>
          <w:szCs w:val="26"/>
        </w:rPr>
        <w:t xml:space="preserve"> según consta en el cuerpo del acta materia de la “</w:t>
      </w:r>
      <w:proofErr w:type="spellStart"/>
      <w:r w:rsidR="0059432F" w:rsidRPr="0040652F">
        <w:rPr>
          <w:rFonts w:ascii="Calibri" w:hAnsi="Calibri" w:cs="Calibri"/>
          <w:color w:val="767171" w:themeColor="background2" w:themeShade="80"/>
          <w:sz w:val="26"/>
          <w:szCs w:val="26"/>
        </w:rPr>
        <w:t>litis</w:t>
      </w:r>
      <w:proofErr w:type="spellEnd"/>
      <w:r w:rsidR="0059432F" w:rsidRPr="0040652F">
        <w:rPr>
          <w:rFonts w:ascii="Calibri" w:hAnsi="Calibri" w:cs="Calibri"/>
          <w:color w:val="767171" w:themeColor="background2" w:themeShade="80"/>
          <w:sz w:val="26"/>
          <w:szCs w:val="26"/>
        </w:rPr>
        <w:t>”</w:t>
      </w:r>
      <w:r w:rsidR="0059432F" w:rsidRPr="0040652F">
        <w:rPr>
          <w:rFonts w:ascii="Calibri" w:hAnsi="Calibri" w:cs="Calibri"/>
          <w:iCs/>
          <w:color w:val="767171" w:themeColor="background2" w:themeShade="80"/>
          <w:sz w:val="26"/>
          <w:szCs w:val="26"/>
        </w:rPr>
        <w:t xml:space="preserve">. . </w:t>
      </w:r>
      <w:r w:rsidR="0059432F">
        <w:rPr>
          <w:rFonts w:ascii="Calibri" w:hAnsi="Calibri"/>
          <w:color w:val="767171" w:themeColor="background2" w:themeShade="80"/>
          <w:sz w:val="26"/>
          <w:szCs w:val="26"/>
        </w:rPr>
        <w:t xml:space="preserve">. . . . . . . . . . . . . . . . . . . . . . . . . . . . . . . . . . . . . </w:t>
      </w:r>
      <w:r>
        <w:rPr>
          <w:rFonts w:ascii="Calibri" w:hAnsi="Calibri"/>
          <w:color w:val="767171" w:themeColor="background2" w:themeShade="80"/>
          <w:sz w:val="26"/>
          <w:szCs w:val="26"/>
        </w:rPr>
        <w:t>. . . . . . . . . .  . . . . . . . . .</w:t>
      </w:r>
      <w:r w:rsidR="0098755C">
        <w:rPr>
          <w:rFonts w:ascii="Calibri" w:hAnsi="Calibri"/>
          <w:color w:val="767171" w:themeColor="background2" w:themeShade="80"/>
          <w:sz w:val="26"/>
          <w:szCs w:val="26"/>
        </w:rPr>
        <w:t xml:space="preserve"> . .</w:t>
      </w:r>
    </w:p>
    <w:p w:rsidR="0059432F" w:rsidRPr="0040652F" w:rsidRDefault="0059432F" w:rsidP="0059432F">
      <w:pPr>
        <w:pStyle w:val="Textoindependiente"/>
        <w:tabs>
          <w:tab w:val="left" w:pos="3594"/>
        </w:tabs>
        <w:rPr>
          <w:rFonts w:ascii="Calibri" w:hAnsi="Calibri" w:cs="Calibri"/>
          <w:color w:val="767171" w:themeColor="background2" w:themeShade="80"/>
          <w:sz w:val="26"/>
          <w:szCs w:val="26"/>
          <w:lang w:val="es-ES"/>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lastRenderedPageBreak/>
        <w:t xml:space="preserve">            Por su parte, el inspector enjuiciado argumentó que el Acta está debidamente fundada y motivada y que fue levantada en flagrancia.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40652F" w:rsidRDefault="0059432F" w:rsidP="0059432F">
      <w:pPr>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Pr>
          <w:rFonts w:ascii="Calibri" w:hAnsi="Calibri" w:cs="Calibri"/>
          <w:color w:val="767171" w:themeColor="background2" w:themeShade="80"/>
          <w:sz w:val="26"/>
          <w:szCs w:val="26"/>
        </w:rPr>
        <w:t xml:space="preserve"> </w:t>
      </w:r>
      <w:r w:rsidR="0098755C">
        <w:rPr>
          <w:rFonts w:ascii="Calibri" w:hAnsi="Calibri" w:cs="Calibri"/>
          <w:color w:val="767171" w:themeColor="background2" w:themeShade="80"/>
          <w:sz w:val="26"/>
          <w:szCs w:val="26"/>
        </w:rPr>
        <w:t>359279 (tres-cinco-nueve-dos-siete-nueve), de fecha 11 once de octubre del año 2016 dos mil dieciséis</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a de establecer la procedencia o improcedencia de la devolución de </w:t>
      </w:r>
      <w:r w:rsidRPr="0040652F">
        <w:rPr>
          <w:rFonts w:ascii="Calibri" w:hAnsi="Calibri"/>
          <w:bCs/>
          <w:color w:val="767171" w:themeColor="background2" w:themeShade="80"/>
          <w:sz w:val="26"/>
          <w:szCs w:val="26"/>
        </w:rPr>
        <w:t>la</w:t>
      </w:r>
      <w:r>
        <w:rPr>
          <w:rFonts w:ascii="Calibri" w:hAnsi="Calibri"/>
          <w:bCs/>
          <w:color w:val="767171" w:themeColor="background2" w:themeShade="80"/>
          <w:sz w:val="26"/>
          <w:szCs w:val="26"/>
        </w:rPr>
        <w:t>s</w:t>
      </w:r>
      <w:r w:rsidRPr="0040652F">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placas de circulación de la unidad del transporte público, que fueron retenidas en garantía del pago de la multa que, en su caso, se impusiera</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xml:space="preserve">. . . . . . . . . . . </w:t>
      </w:r>
    </w:p>
    <w:p w:rsidR="0059432F" w:rsidRPr="0040652F" w:rsidRDefault="0059432F" w:rsidP="0059432F">
      <w:pPr>
        <w:jc w:val="both"/>
        <w:rPr>
          <w:color w:val="767171" w:themeColor="background2" w:themeShade="80"/>
          <w:sz w:val="22"/>
          <w:lang w:val="es-MX"/>
        </w:rPr>
      </w:pPr>
    </w:p>
    <w:p w:rsidR="0059432F" w:rsidRPr="0040652F" w:rsidRDefault="0059432F" w:rsidP="0059432F">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sidRPr="00F97F1A">
        <w:rPr>
          <w:rFonts w:ascii="Calibri" w:hAnsi="Calibri"/>
          <w:b/>
          <w:color w:val="767171" w:themeColor="background2" w:themeShade="80"/>
          <w:sz w:val="26"/>
        </w:rPr>
        <w:t>segundo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r w:rsidR="007B7115">
        <w:rPr>
          <w:rFonts w:ascii="Calibri" w:hAnsi="Calibri"/>
          <w:color w:val="767171" w:themeColor="background2" w:themeShade="80"/>
          <w:sz w:val="26"/>
        </w:rPr>
        <w:t xml:space="preserve">. . . . . . . . . . . . . </w:t>
      </w:r>
    </w:p>
    <w:p w:rsidR="0059432F" w:rsidRPr="0040652F" w:rsidRDefault="0059432F" w:rsidP="0059432F">
      <w:pPr>
        <w:ind w:firstLine="708"/>
        <w:jc w:val="both"/>
        <w:rPr>
          <w:color w:val="767171" w:themeColor="background2" w:themeShade="80"/>
          <w:lang w:val="es-MX"/>
        </w:rPr>
      </w:pPr>
    </w:p>
    <w:p w:rsidR="0059432F" w:rsidRPr="0040652F" w:rsidRDefault="0059432F" w:rsidP="0059432F">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9432F" w:rsidRPr="0040652F" w:rsidRDefault="0059432F" w:rsidP="0059432F">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59432F" w:rsidRPr="0040652F" w:rsidRDefault="0059432F" w:rsidP="0059432F">
      <w:pPr>
        <w:ind w:firstLine="708"/>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Pr="0040652F">
        <w:rPr>
          <w:rFonts w:ascii="Calibri" w:hAnsi="Calibri" w:cs="Calibri"/>
          <w:i/>
          <w:color w:val="767171" w:themeColor="background2" w:themeShade="80"/>
          <w:sz w:val="26"/>
          <w:szCs w:val="26"/>
        </w:rPr>
        <w:t>.-……….</w:t>
      </w:r>
      <w:r w:rsidRPr="0040652F">
        <w:rPr>
          <w:rFonts w:ascii="Calibri" w:hAnsi="Calibri" w:cs="Calibri"/>
          <w:b/>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 xml:space="preserve">……..toda vez que el </w:t>
      </w:r>
      <w:r>
        <w:rPr>
          <w:rFonts w:ascii="Calibri" w:hAnsi="Calibri" w:cs="Calibri"/>
          <w:i/>
          <w:color w:val="767171" w:themeColor="background2" w:themeShade="80"/>
          <w:sz w:val="26"/>
          <w:szCs w:val="26"/>
        </w:rPr>
        <w:t>inspector demandado</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pretende justificar su acto </w:t>
      </w:r>
      <w:r w:rsidRPr="0040652F">
        <w:rPr>
          <w:rFonts w:ascii="Calibri" w:hAnsi="Calibri" w:cs="Calibri"/>
          <w:i/>
          <w:color w:val="767171" w:themeColor="background2" w:themeShade="80"/>
          <w:sz w:val="26"/>
          <w:szCs w:val="26"/>
        </w:rPr>
        <w:t>en el artículo 206, fracción II…….</w:t>
      </w:r>
      <w:r>
        <w:rPr>
          <w:rFonts w:ascii="Calibri" w:hAnsi="Calibri" w:cs="Calibri"/>
          <w:i/>
          <w:color w:val="767171" w:themeColor="background2" w:themeShade="80"/>
          <w:sz w:val="26"/>
          <w:szCs w:val="26"/>
        </w:rPr>
        <w:t xml:space="preserve"> Que </w:t>
      </w:r>
      <w:r w:rsidRPr="0040652F">
        <w:rPr>
          <w:rFonts w:ascii="Calibri" w:hAnsi="Calibri" w:cs="Calibri"/>
          <w:i/>
          <w:color w:val="767171" w:themeColor="background2" w:themeShade="80"/>
          <w:sz w:val="26"/>
          <w:szCs w:val="26"/>
        </w:rPr>
        <w:t xml:space="preserve">alude a las obligaciones y prohibiciones atribuibles a las </w:t>
      </w:r>
      <w:r w:rsidRPr="00516209">
        <w:rPr>
          <w:rFonts w:ascii="Calibri" w:hAnsi="Calibri" w:cs="Calibri"/>
          <w:i/>
          <w:color w:val="767171" w:themeColor="background2" w:themeShade="80"/>
          <w:sz w:val="26"/>
          <w:szCs w:val="26"/>
        </w:rPr>
        <w:t>personas conductoras de vehículos……..mas no a las Personas Morales o Jurídico Colectivas</w:t>
      </w:r>
      <w:r w:rsidRPr="0040652F">
        <w:rPr>
          <w:rFonts w:ascii="Calibri" w:hAnsi="Calibri" w:cs="Calibri"/>
          <w:i/>
          <w:color w:val="767171" w:themeColor="background2" w:themeShade="80"/>
          <w:sz w:val="26"/>
          <w:szCs w:val="26"/>
        </w:rPr>
        <w:t>……”</w:t>
      </w:r>
      <w:r w:rsidRPr="0040652F">
        <w:rPr>
          <w:rFonts w:ascii="Calibri" w:hAnsi="Calibri" w:cs="Calibri"/>
          <w:iCs/>
          <w:color w:val="767171" w:themeColor="background2" w:themeShade="80"/>
          <w:sz w:val="26"/>
          <w:szCs w:val="26"/>
        </w:rPr>
        <w:t>. . . . . . . . . . . . . . . . . . . . . . . . . . . . .</w:t>
      </w:r>
      <w:r>
        <w:rPr>
          <w:rFonts w:ascii="Calibri" w:hAnsi="Calibri" w:cs="Calibri"/>
          <w:iCs/>
          <w:color w:val="767171" w:themeColor="background2" w:themeShade="80"/>
          <w:sz w:val="26"/>
          <w:szCs w:val="26"/>
        </w:rPr>
        <w:t xml:space="preserve"> . . . . . . . . . . . . </w:t>
      </w:r>
    </w:p>
    <w:p w:rsidR="0059432F" w:rsidRPr="0040652F" w:rsidRDefault="0059432F" w:rsidP="0059432F">
      <w:pPr>
        <w:ind w:firstLine="708"/>
        <w:jc w:val="both"/>
        <w:rPr>
          <w:rFonts w:ascii="Calibri" w:hAnsi="Calibri" w:cs="Calibr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r w:rsidR="007B7115">
        <w:rPr>
          <w:rFonts w:ascii="Calibri" w:hAnsi="Calibri" w:cs="Calibri"/>
          <w:iCs/>
          <w:color w:val="767171" w:themeColor="background2" w:themeShade="80"/>
          <w:sz w:val="26"/>
          <w:szCs w:val="26"/>
        </w:rPr>
        <w:t>. . . . . . . . . . . . .</w:t>
      </w:r>
    </w:p>
    <w:p w:rsidR="0059432F" w:rsidRPr="0040652F" w:rsidRDefault="0059432F" w:rsidP="0059432F">
      <w:pPr>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lastRenderedPageBreak/>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sidR="007B7115">
        <w:rPr>
          <w:rFonts w:ascii="Calibri" w:hAnsi="Calibri" w:cs="Calibri"/>
          <w:bCs/>
          <w:color w:val="767171" w:themeColor="background2" w:themeShade="80"/>
          <w:sz w:val="26"/>
          <w:szCs w:val="26"/>
        </w:rPr>
        <w:t xml:space="preserve"> </w:t>
      </w:r>
      <w:r w:rsidR="007B7115">
        <w:rPr>
          <w:rFonts w:ascii="Calibri" w:hAnsi="Calibri" w:cs="Calibri"/>
          <w:color w:val="767171" w:themeColor="background2" w:themeShade="80"/>
          <w:sz w:val="26"/>
          <w:szCs w:val="26"/>
        </w:rPr>
        <w:t>359279 (tres-cinco-nueve-dos-siete-nueve), de fecha 11 once de octubre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Pr>
          <w:rFonts w:ascii="Calibri" w:hAnsi="Calibri" w:cs="Calibri"/>
          <w:bCs/>
          <w:color w:val="767171" w:themeColor="background2" w:themeShade="80"/>
          <w:sz w:val="26"/>
          <w:szCs w:val="26"/>
        </w:rPr>
        <w:t xml:space="preserve">. . . . . . . . . . </w:t>
      </w:r>
      <w:r w:rsidR="007B7115">
        <w:rPr>
          <w:rFonts w:ascii="Calibri" w:hAnsi="Calibri" w:cs="Calibri"/>
          <w:bCs/>
          <w:color w:val="767171" w:themeColor="background2" w:themeShade="80"/>
          <w:sz w:val="26"/>
          <w:szCs w:val="26"/>
        </w:rPr>
        <w:t>.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0444AA">
        <w:rPr>
          <w:rFonts w:ascii="Calibri" w:hAnsi="Calibri" w:cs="Calibri"/>
          <w:bCs/>
          <w:i/>
          <w:color w:val="767171" w:themeColor="background2" w:themeShade="80"/>
          <w:sz w:val="26"/>
          <w:szCs w:val="26"/>
        </w:rPr>
        <w:t>“</w:t>
      </w:r>
      <w:r>
        <w:rPr>
          <w:rFonts w:ascii="Calibri" w:hAnsi="Calibri" w:cs="Calibri"/>
          <w:i/>
          <w:color w:val="767171" w:themeColor="background2" w:themeShade="80"/>
          <w:sz w:val="26"/>
          <w:szCs w:val="26"/>
        </w:rPr>
        <w:t xml:space="preserve">Transportes Urbanos </w:t>
      </w:r>
      <w:r w:rsidRPr="000444AA">
        <w:rPr>
          <w:rFonts w:ascii="Calibri" w:hAnsi="Calibri" w:cs="Calibri"/>
          <w:i/>
          <w:color w:val="767171" w:themeColor="background2" w:themeShade="80"/>
          <w:sz w:val="26"/>
          <w:szCs w:val="26"/>
        </w:rPr>
        <w:t>San Juan Bosco, Sociedad Anónima de Capital Variable</w:t>
      </w:r>
      <w:r w:rsidRPr="000444AA">
        <w:rPr>
          <w:rFonts w:ascii="Calibri" w:hAnsi="Calibri" w:cs="Calibr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 . . . . . . . . . . . . . . . . . . . . . . . . . . . . . . . </w:t>
      </w:r>
      <w:r w:rsidR="00A80DD5">
        <w:rPr>
          <w:rFonts w:ascii="Calibri" w:hAnsi="Calibri" w:cs="Calibri"/>
          <w:bCs/>
          <w:color w:val="767171" w:themeColor="background2" w:themeShade="80"/>
          <w:sz w:val="26"/>
          <w:szCs w:val="26"/>
        </w:rPr>
        <w:t>.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r w:rsidR="00A80DD5">
        <w:rPr>
          <w:rFonts w:asciiTheme="minorHAnsi" w:hAnsiTheme="minorHAnsi" w:cs="Calibri"/>
          <w:bCs/>
          <w:color w:val="767171" w:themeColor="background2" w:themeShade="80"/>
          <w:sz w:val="26"/>
          <w:szCs w:val="26"/>
        </w:rPr>
        <w:t xml:space="preserve">. . . . . . . . . </w:t>
      </w:r>
    </w:p>
    <w:p w:rsidR="0059432F" w:rsidRPr="0040652F" w:rsidRDefault="0059432F" w:rsidP="0059432F">
      <w:pPr>
        <w:jc w:val="both"/>
        <w:rPr>
          <w:rFonts w:asciiTheme="minorHAnsi" w:hAnsiTheme="minorHAns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r w:rsidR="00A80DD5">
        <w:rPr>
          <w:rFonts w:ascii="Calibri" w:hAnsi="Calibri" w:cs="Calibri"/>
          <w:bCs/>
          <w:color w:val="767171" w:themeColor="background2" w:themeShade="80"/>
          <w:sz w:val="26"/>
          <w:szCs w:val="26"/>
        </w:rPr>
        <w:t>.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2A5F77" w:rsidRDefault="0059432F" w:rsidP="002A5F77">
      <w:pPr>
        <w:ind w:firstLine="708"/>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Así pues al resultar material y jurídicamente imposible que una persona jurídica conduzca un vehículo, al levantar el Inspector demandado, el acta de Infracción a la persona moral denominada</w:t>
      </w:r>
      <w:r>
        <w:rPr>
          <w:rFonts w:ascii="Calibri" w:hAnsi="Calibri" w:cs="Calibri"/>
          <w:bCs/>
          <w:color w:val="767171" w:themeColor="background2" w:themeShade="80"/>
          <w:sz w:val="26"/>
          <w:szCs w:val="26"/>
        </w:rPr>
        <w:t xml:space="preserve"> </w:t>
      </w:r>
      <w:r>
        <w:rPr>
          <w:rFonts w:ascii="Calibri" w:hAnsi="Calibri" w:cs="Calibri"/>
          <w:b/>
          <w:i/>
          <w:color w:val="767171" w:themeColor="background2" w:themeShade="80"/>
          <w:sz w:val="26"/>
          <w:szCs w:val="26"/>
        </w:rPr>
        <w:t>“Transportes Urbanos San Juan Bosco, Sociedad Anónima de Capital Variable</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(denominación, como ya se dijo, incompleta)</w:t>
      </w:r>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2A5F77" w:rsidRPr="002A5F77">
        <w:rPr>
          <w:rFonts w:ascii="Calibri" w:hAnsi="Calibri" w:cs="Calibri"/>
          <w:color w:val="767171" w:themeColor="background2" w:themeShade="80"/>
          <w:sz w:val="26"/>
          <w:szCs w:val="26"/>
        </w:rPr>
        <w:t xml:space="preserve"> </w:t>
      </w:r>
      <w:r w:rsidR="002A5F77">
        <w:rPr>
          <w:rFonts w:ascii="Calibri" w:hAnsi="Calibri" w:cs="Calibri"/>
          <w:color w:val="767171" w:themeColor="background2" w:themeShade="80"/>
          <w:sz w:val="26"/>
          <w:szCs w:val="26"/>
        </w:rPr>
        <w:t xml:space="preserve">359279 (tres-cinco-nueve-dos-siete-nueve), de fecha 11 once de octubre del año 2016 dos mil </w:t>
      </w:r>
    </w:p>
    <w:p w:rsidR="002A5F77" w:rsidRDefault="002A5F77" w:rsidP="002A5F7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992/2016-JN</w:t>
      </w:r>
    </w:p>
    <w:p w:rsidR="002A5F77" w:rsidRDefault="002A5F77" w:rsidP="002A5F77">
      <w:pPr>
        <w:ind w:firstLine="708"/>
        <w:jc w:val="both"/>
        <w:rPr>
          <w:rFonts w:ascii="Calibri" w:hAnsi="Calibri" w:cs="Calibri"/>
          <w:color w:val="767171" w:themeColor="background2" w:themeShade="80"/>
          <w:sz w:val="26"/>
          <w:szCs w:val="26"/>
        </w:rPr>
      </w:pPr>
    </w:p>
    <w:p w:rsidR="0059432F" w:rsidRPr="0040652F" w:rsidRDefault="002A5F77" w:rsidP="002A5F77">
      <w:pPr>
        <w:jc w:val="both"/>
        <w:rPr>
          <w:rFonts w:ascii="Calibri" w:hAnsi="Calibri" w:cs="Calibri"/>
          <w:bCs/>
          <w:color w:val="767171" w:themeColor="background2" w:themeShade="80"/>
          <w:sz w:val="26"/>
          <w:szCs w:val="26"/>
        </w:rPr>
      </w:pPr>
      <w:r>
        <w:rPr>
          <w:rFonts w:ascii="Calibri" w:hAnsi="Calibri" w:cs="Calibri"/>
          <w:color w:val="767171" w:themeColor="background2" w:themeShade="80"/>
          <w:sz w:val="26"/>
          <w:szCs w:val="26"/>
        </w:rPr>
        <w:t>dieciséis</w:t>
      </w:r>
      <w:r w:rsidR="0059432F" w:rsidRPr="0040652F">
        <w:rPr>
          <w:rFonts w:ascii="Calibri" w:hAnsi="Calibri" w:cs="Calibri"/>
          <w:color w:val="767171" w:themeColor="background2" w:themeShade="80"/>
          <w:sz w:val="26"/>
          <w:szCs w:val="26"/>
        </w:rPr>
        <w:t xml:space="preserve">, </w:t>
      </w:r>
      <w:r w:rsidR="0059432F"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impugnada, con número</w:t>
      </w:r>
      <w:r w:rsidR="007402B9">
        <w:rPr>
          <w:rFonts w:ascii="Calibri" w:hAnsi="Calibri" w:cs="Calibri"/>
          <w:color w:val="767171" w:themeColor="background2" w:themeShade="80"/>
          <w:sz w:val="26"/>
          <w:szCs w:val="26"/>
        </w:rPr>
        <w:t xml:space="preserve"> 359279 (tres-cinco-nueve-dos-siete-nueve), de fecha 11 once de octubre del año 2016 dos mil dieciséis</w:t>
      </w:r>
      <w:r w:rsidRPr="0040652F">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 . . . .</w:t>
      </w:r>
      <w:r w:rsidR="008200C2">
        <w:rPr>
          <w:rFonts w:ascii="Calibri" w:hAnsi="Calibri" w:cs="Calibri"/>
          <w:color w:val="767171" w:themeColor="background2" w:themeShade="80"/>
          <w:sz w:val="26"/>
          <w:szCs w:val="26"/>
        </w:rPr>
        <w:t xml:space="preserve"> . . . . . . . . . . . . . . . . . . . . . . . . . . . . . . </w:t>
      </w:r>
      <w:r w:rsidR="007402B9">
        <w:rPr>
          <w:rFonts w:ascii="Calibri" w:hAnsi="Calibri" w:cs="Calibri"/>
          <w:color w:val="767171" w:themeColor="background2" w:themeShade="80"/>
          <w:sz w:val="26"/>
          <w:szCs w:val="26"/>
        </w:rPr>
        <w:t xml:space="preserve">.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432F" w:rsidRPr="0040652F" w:rsidRDefault="0059432F" w:rsidP="0059432F">
      <w:pPr>
        <w:pStyle w:val="Textoindependiente"/>
        <w:rPr>
          <w:rFonts w:ascii="Calibri" w:hAnsi="Calibri" w:cs="Arial"/>
          <w:color w:val="767171" w:themeColor="background2" w:themeShade="80"/>
          <w:sz w:val="20"/>
          <w:szCs w:val="27"/>
          <w:lang w:val="es-ES"/>
        </w:rPr>
      </w:pPr>
    </w:p>
    <w:p w:rsidR="0059432F" w:rsidRPr="0040652F" w:rsidRDefault="0059432F" w:rsidP="0059432F">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59432F" w:rsidRPr="0040652F" w:rsidRDefault="0059432F" w:rsidP="0059432F">
      <w:pPr>
        <w:pStyle w:val="Textoindependiente"/>
        <w:rPr>
          <w:rFonts w:ascii="Calibri" w:hAnsi="Calibri"/>
          <w:b/>
          <w:bCs/>
          <w:i/>
          <w:iCs/>
          <w:color w:val="767171" w:themeColor="background2" w:themeShade="80"/>
          <w:sz w:val="26"/>
          <w:szCs w:val="27"/>
        </w:rPr>
      </w:pPr>
    </w:p>
    <w:p w:rsidR="0059432F" w:rsidRPr="0040652F" w:rsidRDefault="0059432F" w:rsidP="0059432F">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59432F" w:rsidRPr="0040652F" w:rsidRDefault="0059432F" w:rsidP="0059432F">
      <w:pPr>
        <w:pStyle w:val="Textoindependiente"/>
        <w:ind w:firstLine="708"/>
        <w:rPr>
          <w:rFonts w:ascii="Calibri" w:hAnsi="Calibri"/>
          <w:b/>
          <w:i/>
          <w:color w:val="767171" w:themeColor="background2" w:themeShade="80"/>
          <w:sz w:val="26"/>
        </w:rPr>
      </w:pPr>
    </w:p>
    <w:p w:rsidR="0059432F" w:rsidRPr="0040652F" w:rsidRDefault="0059432F" w:rsidP="0059432F">
      <w:pPr>
        <w:pStyle w:val="Textoindependiente"/>
        <w:ind w:firstLine="708"/>
        <w:rPr>
          <w:rFonts w:ascii="Calibri" w:hAnsi="Calibri" w:cs="Arial"/>
          <w:color w:val="767171" w:themeColor="background2" w:themeShade="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Pr="0040652F">
        <w:rPr>
          <w:rFonts w:ascii="Calibri" w:hAnsi="Calibri" w:cs="Arial"/>
          <w:color w:val="767171" w:themeColor="background2" w:themeShade="80"/>
          <w:sz w:val="26"/>
          <w:szCs w:val="27"/>
        </w:rPr>
        <w:t>De lo pretendido por la parte actora, se encuentra también lo concerniente a que se ordene la devolución de la</w:t>
      </w:r>
      <w:r>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Pr="0040652F">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y </w:t>
      </w:r>
      <w:r w:rsidRPr="0040652F">
        <w:rPr>
          <w:rFonts w:ascii="Calibri" w:hAnsi="Calibri" w:cs="Arial"/>
          <w:color w:val="767171" w:themeColor="background2" w:themeShade="80"/>
          <w:sz w:val="26"/>
          <w:szCs w:val="27"/>
        </w:rPr>
        <w:t>que</w:t>
      </w:r>
      <w:r>
        <w:rPr>
          <w:rFonts w:ascii="Calibri" w:hAnsi="Calibri" w:cs="Arial"/>
          <w:color w:val="767171" w:themeColor="background2" w:themeShade="80"/>
          <w:sz w:val="26"/>
          <w:szCs w:val="27"/>
        </w:rPr>
        <w:t xml:space="preserve"> fueron retenidas en garantía del pago de la multa que en su caso se impusiera</w:t>
      </w:r>
      <w:r w:rsidRPr="0040652F">
        <w:rPr>
          <w:rFonts w:ascii="Calibri" w:hAnsi="Calibri" w:cs="Arial"/>
          <w:color w:val="767171" w:themeColor="background2" w:themeShade="80"/>
          <w:sz w:val="26"/>
          <w:szCs w:val="27"/>
        </w:rPr>
        <w:t xml:space="preserve">. . </w:t>
      </w:r>
      <w:r>
        <w:rPr>
          <w:rFonts w:ascii="Calibri" w:hAnsi="Calibri" w:cs="Calibri"/>
          <w:bCs/>
          <w:color w:val="767171" w:themeColor="background2" w:themeShade="80"/>
          <w:sz w:val="26"/>
          <w:szCs w:val="26"/>
        </w:rPr>
        <w:t xml:space="preserve">. . . . . . . . . . . . . . . . . . . . . . . . . . . . . . . . . . . . . . </w:t>
      </w:r>
      <w:r w:rsidR="007402B9">
        <w:rPr>
          <w:rFonts w:ascii="Calibri" w:hAnsi="Calibri" w:cs="Calibri"/>
          <w:bCs/>
          <w:color w:val="767171" w:themeColor="background2" w:themeShade="80"/>
          <w:sz w:val="26"/>
          <w:szCs w:val="26"/>
        </w:rPr>
        <w:t>. . . . . .</w:t>
      </w:r>
    </w:p>
    <w:p w:rsidR="0059432F" w:rsidRPr="0040652F" w:rsidRDefault="0059432F" w:rsidP="0059432F">
      <w:pPr>
        <w:pStyle w:val="Textoindependiente"/>
        <w:ind w:firstLine="708"/>
        <w:rPr>
          <w:rFonts w:ascii="Calibri" w:hAnsi="Calibri" w:cs="Arial"/>
          <w:color w:val="767171" w:themeColor="background2" w:themeShade="80"/>
          <w:sz w:val="26"/>
          <w:szCs w:val="27"/>
        </w:rPr>
      </w:pPr>
    </w:p>
    <w:p w:rsidR="0059432F" w:rsidRPr="002032AD" w:rsidRDefault="0059432F" w:rsidP="0059432F">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w:t>
      </w:r>
      <w:r w:rsidRPr="002032AD">
        <w:rPr>
          <w:rFonts w:ascii="Calibri" w:hAnsi="Calibri"/>
          <w:color w:val="767171" w:themeColor="background2" w:themeShade="80"/>
          <w:sz w:val="26"/>
          <w:szCs w:val="26"/>
        </w:rPr>
        <w:lastRenderedPageBreak/>
        <w:t>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reconoce el derecho que tiene </w:t>
      </w:r>
      <w:r w:rsidR="007402B9">
        <w:rPr>
          <w:rFonts w:ascii="Calibri" w:hAnsi="Calibri"/>
          <w:color w:val="767171" w:themeColor="background2" w:themeShade="80"/>
          <w:sz w:val="26"/>
          <w:szCs w:val="26"/>
        </w:rPr>
        <w:t>e</w:t>
      </w:r>
      <w:r w:rsidRPr="002032AD">
        <w:rPr>
          <w:rFonts w:ascii="Calibri" w:hAnsi="Calibri"/>
          <w:color w:val="767171" w:themeColor="background2" w:themeShade="80"/>
          <w:sz w:val="26"/>
          <w:szCs w:val="26"/>
        </w:rPr>
        <w:t>l justiciable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w:t>
      </w:r>
    </w:p>
    <w:p w:rsidR="0059432F" w:rsidRPr="007402B9" w:rsidRDefault="0059432F" w:rsidP="0059432F">
      <w:pPr>
        <w:pStyle w:val="Textoindependiente"/>
        <w:ind w:firstLine="708"/>
        <w:rPr>
          <w:rFonts w:ascii="Calibri" w:hAnsi="Calibri"/>
          <w:color w:val="767171" w:themeColor="background2" w:themeShade="80"/>
          <w:sz w:val="20"/>
          <w:szCs w:val="20"/>
          <w:lang w:val="es-ES"/>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5767A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5767A9">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59432F" w:rsidRPr="0040652F" w:rsidRDefault="0059432F" w:rsidP="0059432F">
      <w:pPr>
        <w:pStyle w:val="Textoindependiente"/>
        <w:ind w:firstLine="708"/>
        <w:rPr>
          <w:rFonts w:ascii="Calibri" w:hAnsi="Calibri" w:cs="Calibri"/>
          <w:bCs/>
          <w:iCs/>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007402B9">
        <w:rPr>
          <w:rFonts w:ascii="Calibri" w:hAnsi="Calibri" w:cs="Calibri"/>
          <w:color w:val="767171" w:themeColor="background2" w:themeShade="80"/>
          <w:sz w:val="26"/>
          <w:szCs w:val="26"/>
        </w:rPr>
        <w:t xml:space="preserve"> 359279 (tres-cinco-nueve-dos-siete-nueve), de fecha 11 once de octubre del año 2016 dos mil dieciséis</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59432F" w:rsidRPr="007402B9" w:rsidRDefault="0059432F" w:rsidP="0059432F">
      <w:pPr>
        <w:ind w:firstLine="708"/>
        <w:jc w:val="both"/>
        <w:rPr>
          <w:rFonts w:ascii="Calibri" w:hAnsi="Calibri" w:cs="Calibri"/>
          <w:b/>
          <w:bCs/>
          <w:i/>
          <w:iCs/>
          <w:color w:val="767171" w:themeColor="background2" w:themeShade="80"/>
          <w:sz w:val="20"/>
          <w:szCs w:val="20"/>
        </w:rPr>
      </w:pPr>
    </w:p>
    <w:p w:rsidR="0059432F" w:rsidRDefault="0059432F" w:rsidP="0059432F">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r w:rsidRPr="00C05689">
        <w:rPr>
          <w:rFonts w:ascii="Calibri" w:hAnsi="Calibri" w:cs="Calibri"/>
          <w:b/>
          <w:color w:val="767171" w:themeColor="background2" w:themeShade="80"/>
          <w:sz w:val="26"/>
          <w:szCs w:val="26"/>
        </w:rPr>
        <w:t>Víctor de Luna Gutiérrez</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5767A9">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placas de circulación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 xml:space="preserve">a lo argumentado en el considerando Noveno de esta misma </w:t>
      </w:r>
      <w:proofErr w:type="gramStart"/>
      <w:r w:rsidRPr="0040652F">
        <w:rPr>
          <w:rFonts w:ascii="Calibri" w:hAnsi="Calibri"/>
          <w:color w:val="767171" w:themeColor="background2" w:themeShade="80"/>
          <w:sz w:val="26"/>
        </w:rPr>
        <w:t>resolución .</w:t>
      </w:r>
      <w:proofErr w:type="gramEnd"/>
      <w:r w:rsidRPr="0040652F">
        <w:rPr>
          <w:rFonts w:ascii="Calibri" w:hAnsi="Calibri"/>
          <w:color w:val="767171" w:themeColor="background2" w:themeShade="80"/>
          <w:sz w:val="26"/>
        </w:rPr>
        <w:t xml:space="preserve"> . . . . . . . . . . . </w:t>
      </w:r>
    </w:p>
    <w:p w:rsidR="007402B9" w:rsidRPr="007402B9" w:rsidRDefault="007402B9" w:rsidP="0059432F">
      <w:pPr>
        <w:ind w:firstLine="708"/>
        <w:jc w:val="both"/>
        <w:rPr>
          <w:rFonts w:ascii="Calibri" w:hAnsi="Calibri" w:cs="Calibri"/>
          <w:b/>
          <w:color w:val="767171" w:themeColor="background2" w:themeShade="80"/>
          <w:sz w:val="20"/>
          <w:szCs w:val="20"/>
        </w:rPr>
      </w:pPr>
    </w:p>
    <w:p w:rsidR="0059432F" w:rsidRPr="0040652F" w:rsidRDefault="0059432F" w:rsidP="0059432F">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9432F" w:rsidRPr="007402B9" w:rsidRDefault="0059432F" w:rsidP="007402B9">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sectPr w:rsidR="0059432F" w:rsidSect="00A80D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036" w:rsidRDefault="00CE2036">
      <w:r>
        <w:separator/>
      </w:r>
    </w:p>
  </w:endnote>
  <w:endnote w:type="continuationSeparator" w:id="0">
    <w:p w:rsidR="00CE2036" w:rsidRDefault="00CE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036" w:rsidRDefault="00CE2036">
      <w:r>
        <w:separator/>
      </w:r>
    </w:p>
  </w:footnote>
  <w:footnote w:type="continuationSeparator" w:id="0">
    <w:p w:rsidR="00CE2036" w:rsidRDefault="00CE2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CE20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67A9">
      <w:rPr>
        <w:rStyle w:val="Nmerodepgina"/>
        <w:noProof/>
      </w:rPr>
      <w:t>7</w:t>
    </w:r>
    <w:r>
      <w:rPr>
        <w:rStyle w:val="Nmerodepgina"/>
      </w:rPr>
      <w:fldChar w:fldCharType="end"/>
    </w:r>
  </w:p>
  <w:p w:rsidR="00917C15" w:rsidRDefault="00CE20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2F"/>
    <w:rsid w:val="00087F63"/>
    <w:rsid w:val="00123505"/>
    <w:rsid w:val="00162EAD"/>
    <w:rsid w:val="0021179F"/>
    <w:rsid w:val="00220E35"/>
    <w:rsid w:val="002A5F77"/>
    <w:rsid w:val="003B16D4"/>
    <w:rsid w:val="003D6136"/>
    <w:rsid w:val="004111FE"/>
    <w:rsid w:val="00472F46"/>
    <w:rsid w:val="0049777B"/>
    <w:rsid w:val="004A2984"/>
    <w:rsid w:val="00545A18"/>
    <w:rsid w:val="005767A9"/>
    <w:rsid w:val="0059432F"/>
    <w:rsid w:val="00630A7F"/>
    <w:rsid w:val="00706F4C"/>
    <w:rsid w:val="007402B9"/>
    <w:rsid w:val="007B7115"/>
    <w:rsid w:val="007C1B78"/>
    <w:rsid w:val="00816E8A"/>
    <w:rsid w:val="008200C2"/>
    <w:rsid w:val="0098755C"/>
    <w:rsid w:val="00A80DD5"/>
    <w:rsid w:val="00BC2E7C"/>
    <w:rsid w:val="00BF3024"/>
    <w:rsid w:val="00CA6439"/>
    <w:rsid w:val="00CE2036"/>
    <w:rsid w:val="00E3528D"/>
    <w:rsid w:val="00E70DFD"/>
    <w:rsid w:val="00E8165D"/>
    <w:rsid w:val="00F25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77186">
      <w:bodyDiv w:val="1"/>
      <w:marLeft w:val="0"/>
      <w:marRight w:val="0"/>
      <w:marTop w:val="0"/>
      <w:marBottom w:val="0"/>
      <w:divBdr>
        <w:top w:val="none" w:sz="0" w:space="0" w:color="auto"/>
        <w:left w:val="none" w:sz="0" w:space="0" w:color="auto"/>
        <w:bottom w:val="none" w:sz="0" w:space="0" w:color="auto"/>
        <w:right w:val="none" w:sz="0" w:space="0" w:color="auto"/>
      </w:divBdr>
    </w:div>
    <w:div w:id="18547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3274</Words>
  <Characters>18012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2017-03-30T15:35:00Z</dcterms:created>
  <dcterms:modified xsi:type="dcterms:W3CDTF">2017-03-30T15:35:00Z</dcterms:modified>
</cp:coreProperties>
</file>